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80316C" w:rsidRPr="002C21DA">
        <w:rPr>
          <w:b/>
        </w:rPr>
        <w:t xml:space="preserve">No. </w:t>
      </w:r>
      <w:r w:rsidR="0080316C" w:rsidRPr="002C21DA">
        <w:rPr>
          <w:rStyle w:val="Textoennegrita"/>
          <w:rFonts w:cs="Arial"/>
          <w:b w:val="0"/>
        </w:rPr>
        <w:t xml:space="preserve">573 DE 2025 CÁMARA – </w:t>
      </w:r>
      <w:r w:rsidR="0080316C" w:rsidRPr="002C21DA">
        <w:rPr>
          <w:b/>
        </w:rPr>
        <w:t xml:space="preserve">155 DE 2023 SENADO “POR MEDIO DE LA CUAL SE MODIFICA Y ADICIONA UN PARÁGRAFO AL DECRETO LEY 262 DE 2000 CON EL FIN DE ADICIONAR DE FINANCIACIÓN DE LOS CONCURSOS PÚBLICOS EN LA PROCURADURÍA GENERAL DE LA NACIÓN, Y SE DICTAN OTRAS DISPOSICIONES”. </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80316C">
        <w:rPr>
          <w:rFonts w:cs="Arial"/>
        </w:rPr>
        <w:t>29</w:t>
      </w:r>
      <w:r w:rsidR="00856BE4" w:rsidRPr="001C6DF6">
        <w:rPr>
          <w:rFonts w:cs="Arial"/>
        </w:rPr>
        <w:t xml:space="preserve"> de abril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874E4E" w:rsidRPr="001C6DF6">
        <w:rPr>
          <w:rFonts w:cs="Arial"/>
        </w:rPr>
        <w:t>2</w:t>
      </w:r>
      <w:r w:rsidR="0080316C">
        <w:rPr>
          <w:rFonts w:cs="Arial"/>
        </w:rPr>
        <w:t>7</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80316C" w:rsidRPr="007664E3" w:rsidRDefault="0080316C" w:rsidP="0080316C">
      <w:pPr>
        <w:pStyle w:val="Sinespaciado"/>
      </w:pPr>
      <w:r w:rsidRPr="007664E3">
        <w:rPr>
          <w:b/>
          <w:bCs/>
        </w:rPr>
        <w:t xml:space="preserve">Artículo 1. Objeto: </w:t>
      </w:r>
      <w:r w:rsidRPr="007664E3">
        <w:t>La presente ley tiene por objeto adicionar un parágrafo al artículo 192 del Decreto Ley 262 de 2000.</w:t>
      </w:r>
    </w:p>
    <w:p w:rsidR="0080316C" w:rsidRDefault="0080316C" w:rsidP="0080316C">
      <w:pPr>
        <w:pStyle w:val="Sinespaciado"/>
        <w:rPr>
          <w:b/>
          <w:bCs/>
        </w:rPr>
      </w:pPr>
    </w:p>
    <w:p w:rsidR="0080316C" w:rsidRPr="007664E3" w:rsidRDefault="0080316C" w:rsidP="0080316C">
      <w:pPr>
        <w:pStyle w:val="Sinespaciado"/>
      </w:pPr>
      <w:r w:rsidRPr="007664E3">
        <w:rPr>
          <w:b/>
          <w:bCs/>
        </w:rPr>
        <w:t xml:space="preserve">Artículo 2. </w:t>
      </w:r>
      <w:r w:rsidRPr="007664E3">
        <w:t>Adiciónese el parágrafo segundo al artículo 192 del Decreto Ley 262 de 2000, el cual quedará así:</w:t>
      </w:r>
    </w:p>
    <w:p w:rsidR="0080316C" w:rsidRDefault="0080316C" w:rsidP="0080316C">
      <w:pPr>
        <w:pStyle w:val="Sinespaciado"/>
        <w:rPr>
          <w:b/>
          <w:bCs/>
        </w:rPr>
      </w:pPr>
    </w:p>
    <w:p w:rsidR="0080316C" w:rsidRPr="007664E3" w:rsidRDefault="0080316C" w:rsidP="0080316C">
      <w:pPr>
        <w:pStyle w:val="Sinespaciado"/>
      </w:pPr>
      <w:r w:rsidRPr="007664E3">
        <w:rPr>
          <w:b/>
          <w:bCs/>
        </w:rPr>
        <w:t xml:space="preserve">Parágrafo 2: </w:t>
      </w:r>
      <w:r w:rsidRPr="007664E3">
        <w:t>Financiación de los concursos: Los concursos o procesos de selección que realice la Procuraduría General de la Nación, en lo posible por medio del Instituto de Estudios del Ministerio Público – IMP, con el fin de proveer los cargos de carrera en la Procuraduría General de la Nación, se financiarán con los recursos percibidos por concepto de los derechos de inscripción que deberán pagar los aspirantes. </w:t>
      </w:r>
    </w:p>
    <w:p w:rsidR="0080316C" w:rsidRDefault="0080316C" w:rsidP="0080316C">
      <w:pPr>
        <w:pStyle w:val="Sinespaciado"/>
      </w:pPr>
    </w:p>
    <w:p w:rsidR="0080316C" w:rsidRPr="007664E3" w:rsidRDefault="0080316C" w:rsidP="0080316C">
      <w:pPr>
        <w:pStyle w:val="Sinespaciado"/>
      </w:pPr>
      <w:r w:rsidRPr="007664E3">
        <w:t>Dichos recursos formarán parte de las asignaciones presupuestales destinadas a la Procuraduría General de la Nación.  El faltante será cubierto con recursos del Presupuesto General de la Nación.</w:t>
      </w:r>
    </w:p>
    <w:p w:rsidR="0080316C" w:rsidRDefault="0080316C" w:rsidP="0080316C">
      <w:pPr>
        <w:pStyle w:val="Sinespaciado"/>
      </w:pPr>
    </w:p>
    <w:p w:rsidR="0080316C" w:rsidRPr="007664E3" w:rsidRDefault="0080316C" w:rsidP="0080316C">
      <w:pPr>
        <w:pStyle w:val="Sinespaciado"/>
      </w:pPr>
      <w:r w:rsidRPr="007664E3">
        <w:t xml:space="preserve">Los derechos de inscripción correspondientes a los empleos de nivel técnico, administrativo y operativo serán equivalentes a un salario mínimo </w:t>
      </w:r>
      <w:r w:rsidR="002C21DA">
        <w:t xml:space="preserve">diario </w:t>
      </w:r>
      <w:r w:rsidRPr="007664E3">
        <w:t>legal</w:t>
      </w:r>
      <w:r w:rsidR="002C21DA">
        <w:t xml:space="preserve"> vigente. </w:t>
      </w:r>
      <w:r w:rsidRPr="007664E3">
        <w:t>  </w:t>
      </w:r>
    </w:p>
    <w:p w:rsidR="0080316C" w:rsidRDefault="0080316C" w:rsidP="0080316C">
      <w:pPr>
        <w:pStyle w:val="Sinespaciado"/>
      </w:pPr>
    </w:p>
    <w:p w:rsidR="0080316C" w:rsidRPr="007664E3" w:rsidRDefault="0080316C" w:rsidP="0080316C">
      <w:pPr>
        <w:pStyle w:val="Sinespaciado"/>
      </w:pPr>
      <w:r w:rsidRPr="007664E3">
        <w:t>Con el fin de garantizar la plena eficacia del objeto de carrera de la Entidad, dispuesto en el artículo 183, los procesos de selección serán permanentes con el fin de garantizar en todo momento disponibilidad para la provisión de vacantes de carrera que se presenten en cualquier nivel en la Procuraduría General de la Nación y, en todo caso, cada vez que la lista de elegibles pierda su vigencia. </w:t>
      </w:r>
    </w:p>
    <w:p w:rsidR="0080316C" w:rsidRDefault="0080316C" w:rsidP="0080316C">
      <w:pPr>
        <w:pStyle w:val="Sinespaciado"/>
        <w:rPr>
          <w:b/>
          <w:bCs/>
        </w:rPr>
      </w:pPr>
    </w:p>
    <w:p w:rsidR="002E6C1D" w:rsidRPr="001C6DF6" w:rsidRDefault="0080316C" w:rsidP="0080316C">
      <w:pPr>
        <w:pStyle w:val="Sinespaciado"/>
      </w:pPr>
      <w:r w:rsidRPr="007664E3">
        <w:rPr>
          <w:b/>
          <w:bCs/>
        </w:rPr>
        <w:t xml:space="preserve">Artículo 3. </w:t>
      </w:r>
      <w:r w:rsidRPr="007664E3">
        <w:t>La presente ley entrará a regir a partir de su sanción, promulgación y publicación en el Diario Oficial y deroga todas las disposiciones que le sean contrarias.</w:t>
      </w:r>
      <w:r w:rsidR="00722B7D" w:rsidRPr="001C6DF6">
        <w:rPr>
          <w:b/>
        </w:rPr>
        <w:cr/>
      </w:r>
      <w:r w:rsidR="002E6C1D" w:rsidRPr="001C6DF6">
        <w:t xml:space="preserve"> </w:t>
      </w:r>
    </w:p>
    <w:p w:rsidR="00F718B4" w:rsidRPr="001C6DF6" w:rsidRDefault="00F718B4" w:rsidP="00FC1DEF">
      <w:pPr>
        <w:pStyle w:val="Sinespaciado"/>
        <w:rPr>
          <w:rFonts w:cs="Arial"/>
          <w:color w:val="000000"/>
        </w:rPr>
      </w:pPr>
      <w:bookmarkStart w:id="0" w:name="_GoBack"/>
    </w:p>
    <w:bookmarkEnd w:id="0"/>
    <w:p w:rsidR="006A6E00" w:rsidRPr="001C6DF6" w:rsidRDefault="001C6DF6" w:rsidP="001C6DF6">
      <w:pPr>
        <w:pStyle w:val="Sinespaciado"/>
        <w:tabs>
          <w:tab w:val="left" w:pos="5522"/>
        </w:tabs>
        <w:rPr>
          <w:rFonts w:cs="Arial"/>
          <w:color w:val="000000"/>
        </w:rPr>
      </w:pPr>
      <w:r w:rsidRPr="001C6DF6">
        <w:rPr>
          <w:rFonts w:cs="Arial"/>
          <w:color w:val="000000"/>
        </w:rPr>
        <w:tab/>
      </w:r>
    </w:p>
    <w:p w:rsidR="0080316C" w:rsidRDefault="0080316C" w:rsidP="0049721E">
      <w:pPr>
        <w:pStyle w:val="Sinespaciado"/>
        <w:spacing w:line="240" w:lineRule="atLeast"/>
        <w:jc w:val="center"/>
        <w:rPr>
          <w:rFonts w:cs="Arial"/>
          <w:b/>
        </w:rPr>
      </w:pPr>
    </w:p>
    <w:p w:rsidR="0080316C" w:rsidRDefault="0080316C" w:rsidP="0049721E">
      <w:pPr>
        <w:pStyle w:val="Sinespaciado"/>
        <w:spacing w:line="240" w:lineRule="atLeast"/>
        <w:jc w:val="center"/>
        <w:rPr>
          <w:rFonts w:cs="Arial"/>
          <w:b/>
        </w:rPr>
      </w:pPr>
    </w:p>
    <w:p w:rsidR="0049721E" w:rsidRPr="001C6DF6" w:rsidRDefault="0080316C" w:rsidP="0049721E">
      <w:pPr>
        <w:pStyle w:val="Sinespaciado"/>
        <w:spacing w:line="240" w:lineRule="atLeast"/>
        <w:jc w:val="center"/>
        <w:rPr>
          <w:rFonts w:cs="Arial"/>
          <w:b/>
        </w:rPr>
      </w:pPr>
      <w:r>
        <w:rPr>
          <w:rFonts w:cs="Arial"/>
          <w:b/>
        </w:rPr>
        <w:t>Gerardo Yepes Caro</w:t>
      </w:r>
    </w:p>
    <w:p w:rsidR="004D631D" w:rsidRPr="001C6DF6" w:rsidRDefault="000D59FE" w:rsidP="00BF32C7">
      <w:pPr>
        <w:pStyle w:val="Sinespaciado"/>
        <w:spacing w:line="240" w:lineRule="atLeast"/>
        <w:jc w:val="center"/>
        <w:rPr>
          <w:rFonts w:eastAsia="Arial" w:cs="Arial"/>
          <w:b/>
          <w:color w:val="000000"/>
        </w:rPr>
      </w:pPr>
      <w:r w:rsidRPr="001C6DF6">
        <w:rPr>
          <w:rFonts w:cs="Arial"/>
        </w:rPr>
        <w:t>Representante a la Cámara</w:t>
      </w:r>
    </w:p>
    <w:sectPr w:rsidR="004D631D" w:rsidRPr="001C6DF6" w:rsidSect="002C21DA">
      <w:headerReference w:type="default" r:id="rId9"/>
      <w:footerReference w:type="default" r:id="rId10"/>
      <w:type w:val="continuous"/>
      <w:pgSz w:w="12240" w:h="15840" w:code="1"/>
      <w:pgMar w:top="1531" w:right="1021" w:bottom="567" w:left="153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2D" w:rsidRDefault="004B262D">
      <w:pPr>
        <w:spacing w:after="0" w:line="240" w:lineRule="auto"/>
      </w:pPr>
      <w:r>
        <w:separator/>
      </w:r>
    </w:p>
  </w:endnote>
  <w:endnote w:type="continuationSeparator" w:id="0">
    <w:p w:rsidR="004B262D" w:rsidRDefault="004B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80316C">
      <w:rPr>
        <w:rFonts w:ascii="Arial" w:hAnsi="Arial" w:cs="Arial"/>
        <w:color w:val="4F81BD" w:themeColor="accent1"/>
        <w:sz w:val="16"/>
        <w:szCs w:val="16"/>
        <w:lang w:val="es-ES"/>
      </w:rPr>
      <w:t>573</w:t>
    </w:r>
    <w:r w:rsidR="00E1312A">
      <w:rPr>
        <w:rFonts w:ascii="Arial" w:hAnsi="Arial" w:cs="Arial"/>
        <w:color w:val="4F81BD" w:themeColor="accent1"/>
        <w:sz w:val="16"/>
        <w:szCs w:val="16"/>
        <w:lang w:val="es-ES"/>
      </w:rPr>
      <w:t xml:space="preserve"> de 2025</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E1312A" w:rsidRPr="00E1312A">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E1312A" w:rsidRPr="00E1312A">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2D" w:rsidRDefault="004B262D">
      <w:pPr>
        <w:spacing w:after="0" w:line="240" w:lineRule="auto"/>
      </w:pPr>
      <w:r>
        <w:separator/>
      </w:r>
    </w:p>
  </w:footnote>
  <w:footnote w:type="continuationSeparator" w:id="0">
    <w:p w:rsidR="004B262D" w:rsidRDefault="004B2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1C6DF6"/>
    <w:rsid w:val="00217B1E"/>
    <w:rsid w:val="00227978"/>
    <w:rsid w:val="00245986"/>
    <w:rsid w:val="00273C01"/>
    <w:rsid w:val="00290644"/>
    <w:rsid w:val="002A1BAF"/>
    <w:rsid w:val="002C21DA"/>
    <w:rsid w:val="002E6C1D"/>
    <w:rsid w:val="00330383"/>
    <w:rsid w:val="00332B24"/>
    <w:rsid w:val="00344B4D"/>
    <w:rsid w:val="00375224"/>
    <w:rsid w:val="00392FE1"/>
    <w:rsid w:val="003B3F8A"/>
    <w:rsid w:val="003C3541"/>
    <w:rsid w:val="003C5D20"/>
    <w:rsid w:val="003D08DE"/>
    <w:rsid w:val="00401837"/>
    <w:rsid w:val="00484475"/>
    <w:rsid w:val="0049721E"/>
    <w:rsid w:val="004B0124"/>
    <w:rsid w:val="004B262D"/>
    <w:rsid w:val="004D631D"/>
    <w:rsid w:val="004F0BC8"/>
    <w:rsid w:val="005004BD"/>
    <w:rsid w:val="00523CF6"/>
    <w:rsid w:val="00533F5F"/>
    <w:rsid w:val="00545AF9"/>
    <w:rsid w:val="0057061D"/>
    <w:rsid w:val="005970FF"/>
    <w:rsid w:val="005B79B2"/>
    <w:rsid w:val="006020FC"/>
    <w:rsid w:val="00645D96"/>
    <w:rsid w:val="0066551C"/>
    <w:rsid w:val="00676A02"/>
    <w:rsid w:val="006A6E00"/>
    <w:rsid w:val="006A6E52"/>
    <w:rsid w:val="006D531F"/>
    <w:rsid w:val="006E594C"/>
    <w:rsid w:val="00703BB5"/>
    <w:rsid w:val="00722B7D"/>
    <w:rsid w:val="00751A35"/>
    <w:rsid w:val="00767847"/>
    <w:rsid w:val="00780935"/>
    <w:rsid w:val="00793F4D"/>
    <w:rsid w:val="007D2959"/>
    <w:rsid w:val="007D3C92"/>
    <w:rsid w:val="007F0D11"/>
    <w:rsid w:val="0080316C"/>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A2504"/>
    <w:rsid w:val="00BA6354"/>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1312A"/>
    <w:rsid w:val="00E2082D"/>
    <w:rsid w:val="00E27292"/>
    <w:rsid w:val="00EB3579"/>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D1B7"/>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78A3B-9F85-4581-BCF1-8A350533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2025-04-29T19:33:00Z</dcterms:created>
  <dcterms:modified xsi:type="dcterms:W3CDTF">2025-04-30T21:31:00Z</dcterms:modified>
</cp:coreProperties>
</file>